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napToGrid w:val="0"/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中医药文化周宣传活动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总结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表</w:t>
      </w:r>
    </w:p>
    <w:p>
      <w:pPr>
        <w:snapToGrid w:val="0"/>
        <w:rPr>
          <w:rFonts w:hint="eastAsia"/>
          <w:sz w:val="36"/>
          <w:szCs w:val="36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2"/>
        <w:gridCol w:w="5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540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活动组织方面的做法、经验和成效（简述）</w:t>
            </w:r>
          </w:p>
        </w:tc>
        <w:tc>
          <w:tcPr>
            <w:tcW w:w="540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存在问题及建议</w:t>
            </w:r>
          </w:p>
        </w:tc>
        <w:tc>
          <w:tcPr>
            <w:tcW w:w="540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工作人员参与情况</w:t>
            </w:r>
          </w:p>
        </w:tc>
        <w:tc>
          <w:tcPr>
            <w:tcW w:w="540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参与活动机构：       家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医务人员：           人</w:t>
            </w:r>
          </w:p>
          <w:p>
            <w:pPr>
              <w:ind w:firstLine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其中，中医师：         人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护理人员：       人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参与志愿者：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惠及群众人数</w:t>
            </w:r>
          </w:p>
        </w:tc>
        <w:tc>
          <w:tcPr>
            <w:tcW w:w="540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尽可能准确，估算（仅指参与现场活动群众人数）：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宣传资料情况</w:t>
            </w:r>
          </w:p>
        </w:tc>
        <w:tc>
          <w:tcPr>
            <w:tcW w:w="540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发放宣传资料：    份（册、页）；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宣传展示板：         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atLeast"/>
          <w:jc w:val="center"/>
        </w:trPr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媒体报道数量（篇次）</w:t>
            </w:r>
          </w:p>
        </w:tc>
        <w:tc>
          <w:tcPr>
            <w:tcW w:w="540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（含电视、广播、网站等）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影像资料收集情况（是否上报）</w:t>
            </w:r>
          </w:p>
        </w:tc>
        <w:tc>
          <w:tcPr>
            <w:tcW w:w="540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6"/>
          <w:cols w:space="720" w:num="1"/>
          <w:docGrid w:type="lines" w:linePitch="312" w:charSpace="0"/>
        </w:sect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snapToGrid w:val="0"/>
        <w:spacing w:line="120" w:lineRule="auto"/>
        <w:rPr>
          <w:rFonts w:hint="default"/>
          <w:sz w:val="36"/>
          <w:szCs w:val="36"/>
          <w:lang w:val="en-US" w:eastAsia="zh-CN"/>
        </w:rPr>
      </w:pPr>
    </w:p>
    <w:p>
      <w:pPr>
        <w:snapToGrid w:val="0"/>
        <w:spacing w:line="120" w:lineRule="auto"/>
        <w:rPr>
          <w:rFonts w:hint="default"/>
          <w:sz w:val="36"/>
          <w:szCs w:val="36"/>
          <w:lang w:val="en-US" w:eastAsia="zh-CN"/>
        </w:rPr>
      </w:pPr>
    </w:p>
    <w:p>
      <w:pPr>
        <w:snapToGrid w:val="0"/>
        <w:spacing w:line="120" w:lineRule="auto"/>
        <w:rPr>
          <w:rFonts w:hint="default"/>
          <w:sz w:val="36"/>
          <w:szCs w:val="36"/>
          <w:lang w:val="en-US" w:eastAsia="zh-CN"/>
        </w:rPr>
      </w:pPr>
    </w:p>
    <w:p>
      <w:pPr>
        <w:snapToGrid w:val="0"/>
        <w:spacing w:line="120" w:lineRule="auto"/>
        <w:rPr>
          <w:rFonts w:hint="default"/>
          <w:sz w:val="36"/>
          <w:szCs w:val="36"/>
          <w:lang w:val="en-US" w:eastAsia="zh-CN"/>
        </w:rPr>
      </w:pPr>
    </w:p>
    <w:p>
      <w:pPr>
        <w:snapToGrid w:val="0"/>
        <w:spacing w:line="120" w:lineRule="auto"/>
        <w:rPr>
          <w:rFonts w:hint="default"/>
          <w:sz w:val="36"/>
          <w:szCs w:val="36"/>
          <w:lang w:val="en-US" w:eastAsia="zh-CN"/>
        </w:rPr>
      </w:pPr>
    </w:p>
    <w:p>
      <w:pPr>
        <w:snapToGrid w:val="0"/>
        <w:spacing w:line="120" w:lineRule="auto"/>
        <w:rPr>
          <w:rFonts w:hint="default"/>
          <w:sz w:val="36"/>
          <w:szCs w:val="36"/>
          <w:lang w:val="en-US" w:eastAsia="zh-CN"/>
        </w:rPr>
      </w:pPr>
    </w:p>
    <w:p>
      <w:pPr>
        <w:snapToGrid w:val="0"/>
        <w:spacing w:line="120" w:lineRule="auto"/>
        <w:rPr>
          <w:rFonts w:hint="default"/>
          <w:sz w:val="36"/>
          <w:szCs w:val="36"/>
          <w:lang w:val="en-US" w:eastAsia="zh-CN"/>
        </w:rPr>
      </w:pPr>
    </w:p>
    <w:p>
      <w:pPr>
        <w:snapToGrid w:val="0"/>
        <w:spacing w:line="590" w:lineRule="exact"/>
        <w:ind w:left="1119" w:leftChars="133" w:hanging="840" w:hangingChars="300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抄送：</w:t>
      </w:r>
      <w:bookmarkStart w:id="0" w:name="copydelivery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国家中医药管理局办公室，福建中医药大学，福建省中医药学会、福建省中西医结合学会、福建省针灸学会、福建省中药材产业协会</w:t>
      </w:r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  <w:bookmarkStart w:id="1" w:name="_GoBack"/>
      <w:bookmarkEnd w:id="1"/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75EC10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2022-10-10T02:06:07Z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3DC0F4F0DA29409B9C8D5B994A843639</vt:lpwstr>
  </property>
</Properties>
</file>